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335189">
        <w:rPr>
          <w:rFonts w:ascii="Times New Roman" w:hAnsi="Times New Roman" w:cs="Times New Roman"/>
          <w:b/>
          <w:sz w:val="28"/>
          <w:szCs w:val="28"/>
        </w:rPr>
        <w:t>7</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ED3F33">
        <w:fldChar w:fldCharType="begin"/>
      </w:r>
      <w:r w:rsidR="00472967" w:rsidRPr="009C3EE5">
        <w:rPr>
          <w:lang w:val="kk-KZ"/>
        </w:rPr>
        <w:instrText>HYPERLINK "mailto:sar.buhcrb@mail.ru"</w:instrText>
      </w:r>
      <w:r w:rsidR="00ED3F33">
        <w:fldChar w:fldCharType="separate"/>
      </w:r>
      <w:r w:rsidRPr="00994D91">
        <w:rPr>
          <w:rStyle w:val="a7"/>
          <w:rFonts w:ascii="Times New Roman" w:hAnsi="Times New Roman" w:cs="Times New Roman"/>
          <w:sz w:val="28"/>
          <w:szCs w:val="28"/>
          <w:lang w:val="kk-KZ"/>
        </w:rPr>
        <w:t>sar.buhcrb@mail.ru</w:t>
      </w:r>
      <w:r w:rsidR="00ED3F33">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ED3F33">
        <w:fldChar w:fldCharType="begin"/>
      </w:r>
      <w:r w:rsidRPr="00D10E97">
        <w:rPr>
          <w:lang w:val="kk-KZ"/>
        </w:rPr>
        <w:instrText>HYPERLINK "http://adilet.zan.kz/kaz/docs/P1600000908" \l "z162"</w:instrText>
      </w:r>
      <w:r w:rsidR="00ED3F33">
        <w:fldChar w:fldCharType="separate"/>
      </w:r>
      <w:r w:rsidRPr="009E7712">
        <w:rPr>
          <w:rStyle w:val="a7"/>
          <w:rFonts w:ascii="Times New Roman" w:hAnsi="Times New Roman" w:cs="Times New Roman"/>
          <w:sz w:val="28"/>
          <w:szCs w:val="28"/>
          <w:lang w:val="kk-KZ"/>
        </w:rPr>
        <w:t>4-тарауында</w:t>
      </w:r>
      <w:r w:rsidR="00ED3F33">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35189">
        <w:rPr>
          <w:rFonts w:ascii="Times New Roman" w:hAnsi="Times New Roman" w:cs="Times New Roman"/>
          <w:b/>
          <w:sz w:val="28"/>
          <w:szCs w:val="28"/>
          <w:lang w:val="kk-KZ"/>
        </w:rPr>
        <w:t>6 сәуірге</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35189">
        <w:rPr>
          <w:rFonts w:ascii="Times New Roman" w:hAnsi="Times New Roman" w:cs="Times New Roman"/>
          <w:b/>
          <w:sz w:val="28"/>
          <w:szCs w:val="28"/>
          <w:lang w:val="kk-KZ"/>
        </w:rPr>
        <w:t>6 сәуірге</w:t>
      </w:r>
      <w:r w:rsidR="00335189"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40778C" w:rsidRDefault="00994D91" w:rsidP="00994D91">
      <w:pPr>
        <w:pStyle w:val="a3"/>
        <w:tabs>
          <w:tab w:val="left" w:pos="4962"/>
          <w:tab w:val="left" w:pos="6960"/>
        </w:tabs>
        <w:jc w:val="right"/>
        <w:rPr>
          <w:b w:val="0"/>
          <w:sz w:val="28"/>
          <w:szCs w:val="28"/>
          <w:lang w:val="kk-KZ"/>
        </w:rPr>
      </w:pPr>
      <w:r w:rsidRPr="00994D91">
        <w:rPr>
          <w:b w:val="0"/>
          <w:sz w:val="28"/>
          <w:szCs w:val="28"/>
          <w:lang w:val="kk-KZ"/>
        </w:rPr>
        <w:lastRenderedPageBreak/>
        <w:t xml:space="preserve">Қосымша </w:t>
      </w:r>
      <w:r>
        <w:rPr>
          <w:b w:val="0"/>
          <w:sz w:val="28"/>
          <w:szCs w:val="28"/>
          <w:lang w:val="kk-KZ"/>
        </w:rPr>
        <w:t>1</w:t>
      </w:r>
    </w:p>
    <w:p w:rsidR="00175C06" w:rsidRPr="00994D91" w:rsidRDefault="00175C06" w:rsidP="00994D91">
      <w:pPr>
        <w:pStyle w:val="a3"/>
        <w:tabs>
          <w:tab w:val="left" w:pos="4962"/>
          <w:tab w:val="left" w:pos="6960"/>
        </w:tabs>
        <w:jc w:val="right"/>
        <w:rPr>
          <w:b w:val="0"/>
          <w:sz w:val="28"/>
          <w:szCs w:val="28"/>
          <w:lang w:val="kk-KZ"/>
        </w:rPr>
      </w:pPr>
    </w:p>
    <w:tbl>
      <w:tblPr>
        <w:tblW w:w="10401" w:type="dxa"/>
        <w:tblInd w:w="-743" w:type="dxa"/>
        <w:tblLayout w:type="fixed"/>
        <w:tblLook w:val="04A0"/>
      </w:tblPr>
      <w:tblGrid>
        <w:gridCol w:w="724"/>
        <w:gridCol w:w="2977"/>
        <w:gridCol w:w="3685"/>
        <w:gridCol w:w="1005"/>
        <w:gridCol w:w="1005"/>
        <w:gridCol w:w="1005"/>
      </w:tblGrid>
      <w:tr w:rsidR="00175C06" w:rsidRPr="00736AB6" w:rsidTr="00175C06">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685"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Кол-во</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175C06" w:rsidRPr="00736AB6" w:rsidRDefault="00175C06"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цена</w:t>
            </w:r>
          </w:p>
        </w:tc>
      </w:tr>
      <w:tr w:rsidR="00335189" w:rsidTr="00175C06">
        <w:trPr>
          <w:trHeight w:val="18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hideMark/>
          </w:tcPr>
          <w:p w:rsidR="00335189" w:rsidRDefault="00335189" w:rsidP="00BD360A">
            <w:pPr>
              <w:pStyle w:val="a3"/>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3685" w:type="dxa"/>
            <w:tcBorders>
              <w:top w:val="single" w:sz="4" w:space="0" w:color="auto"/>
              <w:left w:val="nil"/>
              <w:bottom w:val="single" w:sz="4" w:space="0" w:color="auto"/>
              <w:right w:val="single" w:sz="4" w:space="0" w:color="auto"/>
            </w:tcBorders>
            <w:shd w:val="clear" w:color="000000" w:fill="FFFFFF"/>
            <w:hideMark/>
          </w:tcPr>
          <w:p w:rsidR="00335189" w:rsidRDefault="00335189" w:rsidP="00BD360A">
            <w:pPr>
              <w:pStyle w:val="a3"/>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1005" w:type="dxa"/>
            <w:tcBorders>
              <w:top w:val="single" w:sz="4" w:space="0" w:color="auto"/>
              <w:left w:val="nil"/>
              <w:bottom w:val="single" w:sz="4" w:space="0" w:color="auto"/>
              <w:right w:val="single" w:sz="4" w:space="0" w:color="auto"/>
            </w:tcBorders>
            <w:shd w:val="clear" w:color="000000" w:fill="FFFFFF"/>
            <w:hideMark/>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hideMark/>
          </w:tcPr>
          <w:p w:rsidR="00335189" w:rsidRDefault="00335189" w:rsidP="00BD360A">
            <w:pPr>
              <w:pStyle w:val="a3"/>
              <w:rPr>
                <w:b w:val="0"/>
                <w:sz w:val="20"/>
                <w:szCs w:val="20"/>
              </w:rPr>
            </w:pPr>
            <w:r>
              <w:rPr>
                <w:b w:val="0"/>
                <w:sz w:val="20"/>
                <w:szCs w:val="20"/>
              </w:rPr>
              <w:t>90,00</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335189" w:rsidRDefault="00335189" w:rsidP="00BD360A">
            <w:pPr>
              <w:pStyle w:val="a3"/>
              <w:rPr>
                <w:b w:val="0"/>
                <w:sz w:val="20"/>
                <w:szCs w:val="20"/>
              </w:rPr>
            </w:pPr>
            <w:r>
              <w:rPr>
                <w:b w:val="0"/>
                <w:sz w:val="20"/>
                <w:szCs w:val="20"/>
              </w:rPr>
              <w:t>500</w:t>
            </w:r>
          </w:p>
        </w:tc>
      </w:tr>
      <w:tr w:rsidR="00335189" w:rsidTr="00175C06">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left"/>
              <w:rPr>
                <w:b w:val="0"/>
                <w:sz w:val="20"/>
                <w:szCs w:val="20"/>
              </w:rPr>
            </w:pPr>
            <w:r>
              <w:rPr>
                <w:b w:val="0"/>
                <w:sz w:val="20"/>
                <w:szCs w:val="20"/>
              </w:rPr>
              <w:t xml:space="preserve">Гепарин, </w:t>
            </w:r>
            <w:proofErr w:type="spellStart"/>
            <w:r>
              <w:rPr>
                <w:b w:val="0"/>
                <w:sz w:val="20"/>
                <w:szCs w:val="20"/>
              </w:rPr>
              <w:t>р-р</w:t>
            </w:r>
            <w:proofErr w:type="spellEnd"/>
            <w:r>
              <w:rPr>
                <w:b w:val="0"/>
                <w:sz w:val="20"/>
                <w:szCs w:val="20"/>
              </w:rPr>
              <w:t xml:space="preserve"> для инъекций 5000МЕ/мл,5мл №1</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900,00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70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Натрия хлорид 0,9% 400мл</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Натрия хлорид 0,9% 400мл</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250,00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300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 xml:space="preserve">Набор полосок </w:t>
            </w:r>
            <w:proofErr w:type="spellStart"/>
            <w:r>
              <w:rPr>
                <w:b w:val="0"/>
                <w:sz w:val="20"/>
                <w:szCs w:val="20"/>
              </w:rPr>
              <w:t>иммунохроматических</w:t>
            </w:r>
            <w:proofErr w:type="spellEnd"/>
            <w:r>
              <w:rPr>
                <w:b w:val="0"/>
                <w:sz w:val="20"/>
                <w:szCs w:val="20"/>
              </w:rPr>
              <w:t xml:space="preserve"> от 2-х до 18 наркотических </w:t>
            </w:r>
            <w:proofErr w:type="gramStart"/>
            <w:r>
              <w:rPr>
                <w:b w:val="0"/>
                <w:sz w:val="20"/>
                <w:szCs w:val="20"/>
              </w:rPr>
              <w:t>соединении</w:t>
            </w:r>
            <w:proofErr w:type="gramEnd"/>
            <w:r>
              <w:rPr>
                <w:b w:val="0"/>
                <w:sz w:val="20"/>
                <w:szCs w:val="20"/>
              </w:rPr>
              <w:t xml:space="preserve"> в моче</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 xml:space="preserve">Набор полосок </w:t>
            </w:r>
            <w:proofErr w:type="spellStart"/>
            <w:r>
              <w:rPr>
                <w:b w:val="0"/>
                <w:sz w:val="20"/>
                <w:szCs w:val="20"/>
              </w:rPr>
              <w:t>иммунохроматических</w:t>
            </w:r>
            <w:proofErr w:type="spellEnd"/>
            <w:r>
              <w:rPr>
                <w:b w:val="0"/>
                <w:sz w:val="20"/>
                <w:szCs w:val="20"/>
              </w:rPr>
              <w:t xml:space="preserve"> от 2-х до 18 наркотических </w:t>
            </w:r>
            <w:proofErr w:type="gramStart"/>
            <w:r>
              <w:rPr>
                <w:b w:val="0"/>
                <w:sz w:val="20"/>
                <w:szCs w:val="20"/>
              </w:rPr>
              <w:t>соединении</w:t>
            </w:r>
            <w:proofErr w:type="gramEnd"/>
            <w:r>
              <w:rPr>
                <w:b w:val="0"/>
                <w:sz w:val="20"/>
                <w:szCs w:val="20"/>
              </w:rPr>
              <w:t xml:space="preserve"> в моче</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510,00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100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 xml:space="preserve">Йод 5% - 20,0 раствор </w:t>
            </w:r>
            <w:proofErr w:type="spellStart"/>
            <w:r>
              <w:rPr>
                <w:b w:val="0"/>
                <w:sz w:val="20"/>
                <w:szCs w:val="20"/>
              </w:rPr>
              <w:t>спиртовый</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 xml:space="preserve">Йод 5% - 20,0 раствор </w:t>
            </w:r>
            <w:proofErr w:type="spellStart"/>
            <w:r>
              <w:rPr>
                <w:b w:val="0"/>
                <w:sz w:val="20"/>
                <w:szCs w:val="20"/>
              </w:rPr>
              <w:t>спиртовый</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60,00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Аммиак раствор 10% - 20,0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Аммиак раствор 10% - 20,0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150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7</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Вишневского линимент 40,0 мазь</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Вишневского линимент 40,0 мазь</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290,00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150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8</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Бриллиантовый зелени раствор 1% - 20,0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Бриллиантовый зелени раствор 1% - 20,0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65,00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9</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 xml:space="preserve">Оральная </w:t>
            </w:r>
            <w:proofErr w:type="spellStart"/>
            <w:r>
              <w:rPr>
                <w:b w:val="0"/>
                <w:sz w:val="20"/>
                <w:szCs w:val="20"/>
              </w:rPr>
              <w:t>регидратационная</w:t>
            </w:r>
            <w:proofErr w:type="spellEnd"/>
            <w:r>
              <w:rPr>
                <w:b w:val="0"/>
                <w:sz w:val="20"/>
                <w:szCs w:val="20"/>
              </w:rPr>
              <w:t xml:space="preserve"> соль 27,9</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 xml:space="preserve">Оральная </w:t>
            </w:r>
            <w:proofErr w:type="spellStart"/>
            <w:r>
              <w:rPr>
                <w:b w:val="0"/>
                <w:sz w:val="20"/>
                <w:szCs w:val="20"/>
              </w:rPr>
              <w:t>регидратационная</w:t>
            </w:r>
            <w:proofErr w:type="spellEnd"/>
            <w:r>
              <w:rPr>
                <w:b w:val="0"/>
                <w:sz w:val="20"/>
                <w:szCs w:val="20"/>
              </w:rPr>
              <w:t xml:space="preserve"> соль 27,9</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300,00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100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Лейкопластырь 3*500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Лейкопластырь 3*500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260,00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1000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11</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Дисоль</w:t>
            </w:r>
            <w:proofErr w:type="spellEnd"/>
            <w:r>
              <w:rPr>
                <w:b w:val="0"/>
                <w:sz w:val="20"/>
                <w:szCs w:val="20"/>
              </w:rPr>
              <w:t xml:space="preserve"> 400,0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Дисоль</w:t>
            </w:r>
            <w:proofErr w:type="spellEnd"/>
            <w:r>
              <w:rPr>
                <w:b w:val="0"/>
                <w:sz w:val="20"/>
                <w:szCs w:val="20"/>
              </w:rPr>
              <w:t xml:space="preserve"> 400,0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400,00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12</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Дисоль</w:t>
            </w:r>
            <w:proofErr w:type="spellEnd"/>
            <w:r>
              <w:rPr>
                <w:b w:val="0"/>
                <w:sz w:val="20"/>
                <w:szCs w:val="20"/>
              </w:rPr>
              <w:t xml:space="preserve"> 200,0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Дисоль</w:t>
            </w:r>
            <w:proofErr w:type="spellEnd"/>
            <w:r>
              <w:rPr>
                <w:b w:val="0"/>
                <w:sz w:val="20"/>
                <w:szCs w:val="20"/>
              </w:rPr>
              <w:t xml:space="preserve"> 200,0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320,00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13</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Ацесоль</w:t>
            </w:r>
            <w:proofErr w:type="spellEnd"/>
            <w:r>
              <w:rPr>
                <w:b w:val="0"/>
                <w:sz w:val="20"/>
                <w:szCs w:val="20"/>
              </w:rPr>
              <w:t xml:space="preserve"> 400,0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Ацесоль</w:t>
            </w:r>
            <w:proofErr w:type="spellEnd"/>
            <w:r>
              <w:rPr>
                <w:b w:val="0"/>
                <w:sz w:val="20"/>
                <w:szCs w:val="20"/>
              </w:rPr>
              <w:t xml:space="preserve"> 400,0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400,00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14</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Ацесоль</w:t>
            </w:r>
            <w:proofErr w:type="spellEnd"/>
            <w:r>
              <w:rPr>
                <w:b w:val="0"/>
                <w:sz w:val="20"/>
                <w:szCs w:val="20"/>
              </w:rPr>
              <w:t xml:space="preserve"> 200,0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Ацесоль</w:t>
            </w:r>
            <w:proofErr w:type="spellEnd"/>
            <w:r>
              <w:rPr>
                <w:b w:val="0"/>
                <w:sz w:val="20"/>
                <w:szCs w:val="20"/>
              </w:rPr>
              <w:t xml:space="preserve"> 200,0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320,00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15</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Глюкоза 5% 500,0 полипропилен</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Глюкоза 5% 500,0 полипропилен</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300,00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16</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Глюкоза 5% 200,0</w:t>
            </w:r>
          </w:p>
          <w:p w:rsidR="00335189" w:rsidRDefault="00335189" w:rsidP="00BD360A">
            <w:pPr>
              <w:pStyle w:val="a3"/>
              <w:rPr>
                <w:b w:val="0"/>
                <w:sz w:val="20"/>
                <w:szCs w:val="20"/>
              </w:rPr>
            </w:pPr>
            <w:r>
              <w:rPr>
                <w:b w:val="0"/>
                <w:sz w:val="20"/>
                <w:szCs w:val="20"/>
              </w:rPr>
              <w:t>полипропилен</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Глюкоза 5% 200,0</w:t>
            </w:r>
          </w:p>
          <w:p w:rsidR="00335189" w:rsidRDefault="00335189" w:rsidP="00BD360A">
            <w:pPr>
              <w:pStyle w:val="a3"/>
              <w:rPr>
                <w:b w:val="0"/>
                <w:sz w:val="20"/>
                <w:szCs w:val="20"/>
              </w:rPr>
            </w:pPr>
            <w:r>
              <w:rPr>
                <w:b w:val="0"/>
                <w:sz w:val="20"/>
                <w:szCs w:val="20"/>
              </w:rPr>
              <w:t>полипропилен</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270,0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17</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Папаверина гидрохлорид 2% 2мл</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Папаверина гидрохлорид 2% 2мл 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45,00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2000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18</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Кофеин-бензоат</w:t>
            </w:r>
            <w:proofErr w:type="spellEnd"/>
            <w:r>
              <w:rPr>
                <w:b w:val="0"/>
                <w:sz w:val="20"/>
                <w:szCs w:val="20"/>
              </w:rPr>
              <w:t xml:space="preserve"> натрия 20% 1мл</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Кофеин-бензоат</w:t>
            </w:r>
            <w:proofErr w:type="spellEnd"/>
            <w:r>
              <w:rPr>
                <w:b w:val="0"/>
                <w:sz w:val="20"/>
                <w:szCs w:val="20"/>
              </w:rPr>
              <w:t xml:space="preserve"> натрия 20% 1мл 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jc w:val="right"/>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300,00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19</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 xml:space="preserve">Система для </w:t>
            </w:r>
            <w:proofErr w:type="spellStart"/>
            <w:r>
              <w:rPr>
                <w:b w:val="0"/>
                <w:sz w:val="20"/>
                <w:szCs w:val="20"/>
              </w:rPr>
              <w:t>инфузий</w:t>
            </w:r>
            <w:proofErr w:type="spellEnd"/>
            <w:r>
              <w:rPr>
                <w:b w:val="0"/>
                <w:sz w:val="20"/>
                <w:szCs w:val="20"/>
              </w:rPr>
              <w:t xml:space="preserve"> </w:t>
            </w:r>
            <w:proofErr w:type="gramStart"/>
            <w:r>
              <w:rPr>
                <w:b w:val="0"/>
                <w:sz w:val="20"/>
                <w:szCs w:val="20"/>
              </w:rPr>
              <w:t>одноразовые</w:t>
            </w:r>
            <w:proofErr w:type="gramEnd"/>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 xml:space="preserve">Система для </w:t>
            </w:r>
            <w:proofErr w:type="spellStart"/>
            <w:r>
              <w:rPr>
                <w:b w:val="0"/>
                <w:sz w:val="20"/>
                <w:szCs w:val="20"/>
              </w:rPr>
              <w:t>инфузий</w:t>
            </w:r>
            <w:proofErr w:type="spellEnd"/>
            <w:r>
              <w:rPr>
                <w:b w:val="0"/>
                <w:sz w:val="20"/>
                <w:szCs w:val="20"/>
              </w:rPr>
              <w:t xml:space="preserve"> </w:t>
            </w:r>
            <w:proofErr w:type="gramStart"/>
            <w:r>
              <w:rPr>
                <w:b w:val="0"/>
                <w:sz w:val="20"/>
                <w:szCs w:val="20"/>
              </w:rPr>
              <w:t>одноразовые</w:t>
            </w:r>
            <w:proofErr w:type="gramEnd"/>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75,00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8000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736AB6"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20</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Гидрокартизон-Рихтер</w:t>
            </w:r>
            <w:proofErr w:type="spellEnd"/>
            <w:r>
              <w:rPr>
                <w:b w:val="0"/>
                <w:sz w:val="20"/>
                <w:szCs w:val="20"/>
              </w:rPr>
              <w:t xml:space="preserve"> 5мл</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суспензия микрокристаллическая для инъекций, 5мл</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100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21</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Цитикопол</w:t>
            </w:r>
            <w:proofErr w:type="spellEnd"/>
            <w:r>
              <w:rPr>
                <w:b w:val="0"/>
                <w:sz w:val="20"/>
                <w:szCs w:val="20"/>
              </w:rPr>
              <w:t xml:space="preserve"> 500мг/4мл №5</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Цитикопол</w:t>
            </w:r>
            <w:proofErr w:type="spellEnd"/>
            <w:r>
              <w:rPr>
                <w:b w:val="0"/>
                <w:sz w:val="20"/>
                <w:szCs w:val="20"/>
              </w:rPr>
              <w:t xml:space="preserve"> 500мг/4мл №5 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Строфантин</w:t>
            </w:r>
            <w:proofErr w:type="spellEnd"/>
            <w:r>
              <w:rPr>
                <w:b w:val="0"/>
                <w:sz w:val="20"/>
                <w:szCs w:val="20"/>
              </w:rPr>
              <w:t xml:space="preserve"> 0,25мг/мл 1,0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600,00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100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23</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Цераксон</w:t>
            </w:r>
            <w:proofErr w:type="spellEnd"/>
            <w:r>
              <w:rPr>
                <w:b w:val="0"/>
                <w:sz w:val="20"/>
                <w:szCs w:val="20"/>
              </w:rPr>
              <w:t xml:space="preserve"> 05 4мг №5</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5900,00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24</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Дигоксин</w:t>
            </w:r>
            <w:proofErr w:type="spellEnd"/>
            <w:r>
              <w:rPr>
                <w:b w:val="0"/>
                <w:sz w:val="20"/>
                <w:szCs w:val="20"/>
              </w:rPr>
              <w:t xml:space="preserve"> 0,25мг/мл 1,5</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25</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Вата 100,0 не стерильная</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Вата 100,0 не стерильная</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200,00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26</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Вата 50,0 стерильная</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Вата 50,0 стерильная</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160,00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500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27</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Раствор формалина</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Раствор формалина</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rPr>
                <w:b w:val="0"/>
                <w:sz w:val="20"/>
                <w:szCs w:val="20"/>
              </w:rPr>
            </w:pPr>
            <w:r>
              <w:rPr>
                <w:b w:val="0"/>
                <w:sz w:val="20"/>
                <w:szCs w:val="20"/>
              </w:rPr>
              <w:t>кг</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600,00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rPr>
                <w:b w:val="0"/>
                <w:sz w:val="20"/>
                <w:szCs w:val="20"/>
              </w:rPr>
            </w:pPr>
            <w:r>
              <w:rPr>
                <w:b w:val="0"/>
                <w:sz w:val="20"/>
                <w:szCs w:val="20"/>
              </w:rPr>
              <w:t>4</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lastRenderedPageBreak/>
              <w:t>28</w:t>
            </w:r>
          </w:p>
        </w:tc>
        <w:tc>
          <w:tcPr>
            <w:tcW w:w="2977" w:type="dxa"/>
            <w:tcBorders>
              <w:top w:val="single" w:sz="4" w:space="0" w:color="auto"/>
              <w:left w:val="nil"/>
              <w:bottom w:val="single" w:sz="4" w:space="0" w:color="auto"/>
              <w:right w:val="single" w:sz="4" w:space="0" w:color="auto"/>
            </w:tcBorders>
            <w:shd w:val="clear" w:color="000000" w:fill="FFFFFF"/>
          </w:tcPr>
          <w:p w:rsidR="00335189" w:rsidRPr="008A03F4" w:rsidRDefault="00335189" w:rsidP="00BD360A">
            <w:pPr>
              <w:spacing w:after="0"/>
              <w:rPr>
                <w:rFonts w:ascii="Times New Roman" w:hAnsi="Times New Roman" w:cs="Times New Roman"/>
              </w:rPr>
            </w:pPr>
            <w:proofErr w:type="spellStart"/>
            <w:r w:rsidRPr="008A03F4">
              <w:rPr>
                <w:rFonts w:ascii="Times New Roman" w:hAnsi="Times New Roman" w:cs="Times New Roman"/>
                <w:sz w:val="20"/>
                <w:szCs w:val="20"/>
              </w:rPr>
              <w:t>Квамател</w:t>
            </w:r>
            <w:proofErr w:type="spellEnd"/>
            <w:r w:rsidRPr="008A03F4">
              <w:rPr>
                <w:rFonts w:ascii="Times New Roman" w:hAnsi="Times New Roman" w:cs="Times New Roman"/>
                <w:sz w:val="20"/>
                <w:szCs w:val="20"/>
              </w:rPr>
              <w:t xml:space="preserve"> 20мг№5амп</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4500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29</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Клеенка медицинская подкладная</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Клеенка медицинская подкладная</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м</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650,00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1000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30</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Транексамовая</w:t>
            </w:r>
            <w:proofErr w:type="spellEnd"/>
            <w:r>
              <w:rPr>
                <w:b w:val="0"/>
                <w:sz w:val="20"/>
                <w:szCs w:val="20"/>
              </w:rPr>
              <w:t xml:space="preserve"> кислота (</w:t>
            </w:r>
            <w:proofErr w:type="spellStart"/>
            <w:r>
              <w:rPr>
                <w:b w:val="0"/>
                <w:sz w:val="20"/>
                <w:szCs w:val="20"/>
              </w:rPr>
              <w:t>Тугина</w:t>
            </w:r>
            <w:proofErr w:type="spellEnd"/>
            <w:r>
              <w:rPr>
                <w:b w:val="0"/>
                <w:sz w:val="20"/>
                <w:szCs w:val="20"/>
              </w:rPr>
              <w:t>) 100мг/мл 5мл №5</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Транексамовая</w:t>
            </w:r>
            <w:proofErr w:type="spellEnd"/>
            <w:r>
              <w:rPr>
                <w:b w:val="0"/>
                <w:sz w:val="20"/>
                <w:szCs w:val="20"/>
              </w:rPr>
              <w:t xml:space="preserve"> кислота (</w:t>
            </w:r>
            <w:proofErr w:type="spellStart"/>
            <w:r>
              <w:rPr>
                <w:b w:val="0"/>
                <w:sz w:val="20"/>
                <w:szCs w:val="20"/>
              </w:rPr>
              <w:t>Тугина</w:t>
            </w:r>
            <w:proofErr w:type="spellEnd"/>
            <w:r>
              <w:rPr>
                <w:b w:val="0"/>
                <w:sz w:val="20"/>
                <w:szCs w:val="20"/>
              </w:rPr>
              <w:t>) 100мг/мл 5мл №5</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14500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15</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31</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Антибит</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Антибит</w:t>
            </w:r>
            <w:proofErr w:type="spellEnd"/>
            <w:r>
              <w:rPr>
                <w:b w:val="0"/>
                <w:sz w:val="20"/>
                <w:szCs w:val="20"/>
              </w:rPr>
              <w:t xml:space="preserve"> 150,0 шампунь</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флак</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2600,00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20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32</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№3-0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16мм 3/8 </w:t>
            </w:r>
            <w:proofErr w:type="spellStart"/>
            <w:r>
              <w:rPr>
                <w:b w:val="0"/>
                <w:sz w:val="20"/>
                <w:szCs w:val="20"/>
              </w:rPr>
              <w:t>окр</w:t>
            </w:r>
            <w:proofErr w:type="spellEnd"/>
            <w:r>
              <w:rPr>
                <w:b w:val="0"/>
                <w:sz w:val="20"/>
                <w:szCs w:val="20"/>
              </w:rPr>
              <w:t xml:space="preserve"> W9444</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1700,00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33</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w:t>
            </w:r>
            <w:proofErr w:type="spellStart"/>
            <w:r>
              <w:rPr>
                <w:b w:val="0"/>
                <w:sz w:val="20"/>
                <w:szCs w:val="20"/>
              </w:rPr>
              <w:t>таперкарт</w:t>
            </w:r>
            <w:proofErr w:type="spellEnd"/>
            <w:r>
              <w:rPr>
                <w:b w:val="0"/>
                <w:sz w:val="20"/>
                <w:szCs w:val="20"/>
              </w:rPr>
              <w:t xml:space="preserve"> 36мм 1/2 </w:t>
            </w:r>
            <w:proofErr w:type="spellStart"/>
            <w:r>
              <w:rPr>
                <w:b w:val="0"/>
                <w:sz w:val="20"/>
                <w:szCs w:val="20"/>
              </w:rPr>
              <w:t>окр</w:t>
            </w:r>
            <w:proofErr w:type="spellEnd"/>
            <w:r>
              <w:rPr>
                <w:b w:val="0"/>
                <w:sz w:val="20"/>
                <w:szCs w:val="20"/>
              </w:rPr>
              <w:t xml:space="preserve"> W9364</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1800,00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34</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№1</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w:t>
            </w:r>
            <w:proofErr w:type="spellStart"/>
            <w:r>
              <w:rPr>
                <w:b w:val="0"/>
                <w:sz w:val="20"/>
                <w:szCs w:val="20"/>
              </w:rPr>
              <w:t>таперпоинт</w:t>
            </w:r>
            <w:proofErr w:type="spellEnd"/>
            <w:r>
              <w:rPr>
                <w:b w:val="0"/>
                <w:sz w:val="20"/>
                <w:szCs w:val="20"/>
              </w:rPr>
              <w:t xml:space="preserve"> 45мм 1/2 </w:t>
            </w:r>
            <w:proofErr w:type="spellStart"/>
            <w:r>
              <w:rPr>
                <w:b w:val="0"/>
                <w:sz w:val="20"/>
                <w:szCs w:val="20"/>
              </w:rPr>
              <w:t>окр</w:t>
            </w:r>
            <w:proofErr w:type="spellEnd"/>
            <w:r>
              <w:rPr>
                <w:b w:val="0"/>
                <w:sz w:val="20"/>
                <w:szCs w:val="20"/>
              </w:rPr>
              <w:t xml:space="preserve"> W9245</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1800,00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35</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№1</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31мм 1/2 </w:t>
            </w:r>
            <w:proofErr w:type="spellStart"/>
            <w:r>
              <w:rPr>
                <w:b w:val="0"/>
                <w:sz w:val="20"/>
                <w:szCs w:val="20"/>
              </w:rPr>
              <w:t>окр</w:t>
            </w:r>
            <w:proofErr w:type="spellEnd"/>
            <w:r>
              <w:rPr>
                <w:b w:val="0"/>
                <w:sz w:val="20"/>
                <w:szCs w:val="20"/>
              </w:rPr>
              <w:t xml:space="preserve"> W9213</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1800,00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36</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№2</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w:t>
            </w:r>
            <w:proofErr w:type="spellStart"/>
            <w:r>
              <w:rPr>
                <w:b w:val="0"/>
                <w:sz w:val="20"/>
                <w:szCs w:val="20"/>
              </w:rPr>
              <w:t>таперпоинт</w:t>
            </w:r>
            <w:proofErr w:type="spellEnd"/>
            <w:r>
              <w:rPr>
                <w:b w:val="0"/>
                <w:sz w:val="20"/>
                <w:szCs w:val="20"/>
              </w:rPr>
              <w:t xml:space="preserve"> (массивная) 45мм 1/2 </w:t>
            </w:r>
            <w:proofErr w:type="spellStart"/>
            <w:r>
              <w:rPr>
                <w:b w:val="0"/>
                <w:sz w:val="20"/>
                <w:szCs w:val="20"/>
              </w:rPr>
              <w:t>окр</w:t>
            </w:r>
            <w:proofErr w:type="spellEnd"/>
            <w:r>
              <w:rPr>
                <w:b w:val="0"/>
                <w:sz w:val="20"/>
                <w:szCs w:val="20"/>
              </w:rPr>
              <w:t xml:space="preserve"> W9246</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2300,00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37</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Викрил</w:t>
            </w:r>
            <w:proofErr w:type="spellEnd"/>
            <w:r>
              <w:rPr>
                <w:b w:val="0"/>
                <w:sz w:val="20"/>
                <w:szCs w:val="20"/>
              </w:rPr>
              <w:t xml:space="preserve"> фиолетовый №2</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 xml:space="preserve">75см игла </w:t>
            </w:r>
            <w:proofErr w:type="gramStart"/>
            <w:r>
              <w:rPr>
                <w:b w:val="0"/>
                <w:sz w:val="20"/>
                <w:szCs w:val="20"/>
              </w:rPr>
              <w:t>колющ</w:t>
            </w:r>
            <w:proofErr w:type="gramEnd"/>
            <w:r>
              <w:rPr>
                <w:b w:val="0"/>
                <w:sz w:val="20"/>
                <w:szCs w:val="20"/>
              </w:rPr>
              <w:t xml:space="preserve"> </w:t>
            </w:r>
            <w:proofErr w:type="spellStart"/>
            <w:r>
              <w:rPr>
                <w:b w:val="0"/>
                <w:sz w:val="20"/>
                <w:szCs w:val="20"/>
              </w:rPr>
              <w:t>таперпоинт</w:t>
            </w:r>
            <w:proofErr w:type="spellEnd"/>
            <w:r>
              <w:rPr>
                <w:b w:val="0"/>
                <w:sz w:val="20"/>
                <w:szCs w:val="20"/>
              </w:rPr>
              <w:t xml:space="preserve"> 48мм 1/2 </w:t>
            </w:r>
            <w:proofErr w:type="spellStart"/>
            <w:r>
              <w:rPr>
                <w:b w:val="0"/>
                <w:sz w:val="20"/>
                <w:szCs w:val="20"/>
              </w:rPr>
              <w:t>окр</w:t>
            </w:r>
            <w:proofErr w:type="spellEnd"/>
            <w:r>
              <w:rPr>
                <w:b w:val="0"/>
                <w:sz w:val="20"/>
                <w:szCs w:val="20"/>
              </w:rPr>
              <w:t xml:space="preserve"> W9252</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уп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2100,00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38</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Кетгут простой №1,5 с иглой</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75см колющая игла USP5/0,  HR-15</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150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Pr="00F61284"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39</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lang w:val="en-US"/>
              </w:rPr>
            </w:pPr>
            <w:r>
              <w:rPr>
                <w:b w:val="0"/>
                <w:sz w:val="20"/>
                <w:szCs w:val="20"/>
              </w:rPr>
              <w:t xml:space="preserve">Дренажные системы аспирации </w:t>
            </w:r>
            <w:proofErr w:type="spellStart"/>
            <w:r>
              <w:rPr>
                <w:b w:val="0"/>
                <w:sz w:val="20"/>
                <w:szCs w:val="20"/>
              </w:rPr>
              <w:t>Be</w:t>
            </w:r>
            <w:r>
              <w:rPr>
                <w:b w:val="0"/>
                <w:sz w:val="20"/>
                <w:szCs w:val="20"/>
                <w:lang w:val="en-US"/>
              </w:rPr>
              <w:t>ll</w:t>
            </w:r>
            <w:r>
              <w:rPr>
                <w:b w:val="0"/>
                <w:sz w:val="20"/>
                <w:szCs w:val="20"/>
              </w:rPr>
              <w:t>ows</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 xml:space="preserve">Дренажные системы аспирации </w:t>
            </w:r>
            <w:proofErr w:type="spellStart"/>
            <w:r>
              <w:rPr>
                <w:b w:val="0"/>
                <w:sz w:val="20"/>
                <w:szCs w:val="20"/>
              </w:rPr>
              <w:t>Be</w:t>
            </w:r>
            <w:r>
              <w:rPr>
                <w:b w:val="0"/>
                <w:sz w:val="20"/>
                <w:szCs w:val="20"/>
                <w:lang w:val="en-US"/>
              </w:rPr>
              <w:t>ll</w:t>
            </w:r>
            <w:r>
              <w:rPr>
                <w:b w:val="0"/>
                <w:sz w:val="20"/>
                <w:szCs w:val="20"/>
              </w:rPr>
              <w:t>ows</w:t>
            </w:r>
            <w:proofErr w:type="spellEnd"/>
            <w:r>
              <w:rPr>
                <w:b w:val="0"/>
                <w:sz w:val="20"/>
                <w:szCs w:val="20"/>
              </w:rPr>
              <w:t xml:space="preserve"> гармошка объемом 500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9000,00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40</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Пентоксифиллин</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раствор для инъекций 2%, 5мл</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20,00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5000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41</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Марля медицинская плотность 30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Марля медицинская плотность 30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м</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75,00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4000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42</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Папаверина гидрохлорид 2% 2,0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r>
              <w:rPr>
                <w:b w:val="0"/>
                <w:sz w:val="20"/>
                <w:szCs w:val="20"/>
              </w:rPr>
              <w:t>Папаверина гидрохлорид 2% 2,0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15,00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5000</w:t>
            </w:r>
          </w:p>
        </w:tc>
      </w:tr>
      <w:tr w:rsidR="00335189"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35189" w:rsidRDefault="00335189" w:rsidP="00164071">
            <w:pPr>
              <w:spacing w:after="0"/>
              <w:ind w:left="49"/>
              <w:rPr>
                <w:rFonts w:ascii="Times New Roman" w:hAnsi="Times New Roman" w:cs="Times New Roman"/>
                <w:sz w:val="20"/>
                <w:szCs w:val="20"/>
              </w:rPr>
            </w:pPr>
            <w:r>
              <w:rPr>
                <w:rFonts w:ascii="Times New Roman" w:hAnsi="Times New Roman" w:cs="Times New Roman"/>
                <w:sz w:val="20"/>
                <w:szCs w:val="20"/>
              </w:rPr>
              <w:t>43</w:t>
            </w:r>
          </w:p>
        </w:tc>
        <w:tc>
          <w:tcPr>
            <w:tcW w:w="2977"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Платифиллина</w:t>
            </w:r>
            <w:proofErr w:type="spellEnd"/>
            <w:r>
              <w:rPr>
                <w:b w:val="0"/>
                <w:sz w:val="20"/>
                <w:szCs w:val="20"/>
              </w:rPr>
              <w:t xml:space="preserve"> </w:t>
            </w:r>
            <w:proofErr w:type="spellStart"/>
            <w:r>
              <w:rPr>
                <w:b w:val="0"/>
                <w:sz w:val="20"/>
                <w:szCs w:val="20"/>
              </w:rPr>
              <w:t>гидротартрат</w:t>
            </w:r>
            <w:proofErr w:type="spellEnd"/>
            <w:r>
              <w:rPr>
                <w:b w:val="0"/>
                <w:sz w:val="20"/>
                <w:szCs w:val="20"/>
              </w:rPr>
              <w:t xml:space="preserve"> раствор для инъекции 0,2% 1,0</w:t>
            </w:r>
          </w:p>
        </w:tc>
        <w:tc>
          <w:tcPr>
            <w:tcW w:w="368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Платифиллина</w:t>
            </w:r>
            <w:proofErr w:type="spellEnd"/>
            <w:r>
              <w:rPr>
                <w:b w:val="0"/>
                <w:sz w:val="20"/>
                <w:szCs w:val="20"/>
              </w:rPr>
              <w:t xml:space="preserve"> </w:t>
            </w:r>
            <w:proofErr w:type="spellStart"/>
            <w:r>
              <w:rPr>
                <w:b w:val="0"/>
                <w:sz w:val="20"/>
                <w:szCs w:val="20"/>
              </w:rPr>
              <w:t>гидротартрат</w:t>
            </w:r>
            <w:proofErr w:type="spellEnd"/>
            <w:r>
              <w:rPr>
                <w:b w:val="0"/>
                <w:sz w:val="20"/>
                <w:szCs w:val="20"/>
              </w:rPr>
              <w:t xml:space="preserve"> раствор для инъекции 0,2% 1,0</w:t>
            </w:r>
          </w:p>
        </w:tc>
        <w:tc>
          <w:tcPr>
            <w:tcW w:w="1005" w:type="dxa"/>
            <w:tcBorders>
              <w:top w:val="single" w:sz="4" w:space="0" w:color="auto"/>
              <w:left w:val="nil"/>
              <w:bottom w:val="single" w:sz="4" w:space="0" w:color="auto"/>
              <w:right w:val="single" w:sz="4" w:space="0" w:color="auto"/>
            </w:tcBorders>
            <w:shd w:val="clear" w:color="000000" w:fill="FFFFFF"/>
          </w:tcPr>
          <w:p w:rsidR="00335189" w:rsidRDefault="00335189" w:rsidP="00BD360A">
            <w:pPr>
              <w:pStyle w:val="a3"/>
              <w:spacing w:line="276" w:lineRule="auto"/>
              <w:rPr>
                <w:b w:val="0"/>
                <w:sz w:val="20"/>
                <w:szCs w:val="20"/>
              </w:rPr>
            </w:pPr>
            <w:proofErr w:type="spellStart"/>
            <w:r>
              <w:rPr>
                <w:b w:val="0"/>
                <w:sz w:val="20"/>
                <w:szCs w:val="20"/>
              </w:rPr>
              <w:t>амп</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18,00</w:t>
            </w:r>
          </w:p>
        </w:tc>
        <w:tc>
          <w:tcPr>
            <w:tcW w:w="1005" w:type="dxa"/>
            <w:tcBorders>
              <w:top w:val="single" w:sz="4" w:space="0" w:color="auto"/>
              <w:left w:val="nil"/>
              <w:bottom w:val="single" w:sz="4" w:space="0" w:color="auto"/>
              <w:right w:val="single" w:sz="4" w:space="0" w:color="auto"/>
            </w:tcBorders>
            <w:shd w:val="clear" w:color="000000" w:fill="FFFFFF"/>
            <w:noWrap/>
          </w:tcPr>
          <w:p w:rsidR="00335189" w:rsidRDefault="00335189" w:rsidP="00BD360A">
            <w:pPr>
              <w:pStyle w:val="a3"/>
              <w:spacing w:line="276" w:lineRule="auto"/>
              <w:rPr>
                <w:b w:val="0"/>
                <w:sz w:val="20"/>
                <w:szCs w:val="20"/>
              </w:rPr>
            </w:pPr>
            <w:r>
              <w:rPr>
                <w:b w:val="0"/>
                <w:sz w:val="20"/>
                <w:szCs w:val="20"/>
              </w:rPr>
              <w:t>500</w:t>
            </w:r>
          </w:p>
        </w:tc>
      </w:tr>
    </w:tbl>
    <w:p w:rsidR="00F669E9" w:rsidRDefault="00F669E9" w:rsidP="00994D91">
      <w:pPr>
        <w:spacing w:after="0"/>
      </w:pPr>
    </w:p>
    <w:sectPr w:rsidR="00F669E9"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116E71"/>
    <w:rsid w:val="00175C06"/>
    <w:rsid w:val="00335189"/>
    <w:rsid w:val="0040778C"/>
    <w:rsid w:val="00472967"/>
    <w:rsid w:val="00994D91"/>
    <w:rsid w:val="009C3EE5"/>
    <w:rsid w:val="009D408E"/>
    <w:rsid w:val="00D55F76"/>
    <w:rsid w:val="00E74172"/>
    <w:rsid w:val="00ED3F33"/>
    <w:rsid w:val="00F66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2020-03-30T03:48:00Z</dcterms:created>
  <dcterms:modified xsi:type="dcterms:W3CDTF">2020-03-30T03:48:00Z</dcterms:modified>
</cp:coreProperties>
</file>